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IV/1 vom 17. Februar 2022</w:t>
      </w:r>
    </w:p>
    <w:p>
      <w:r>
        <w:t>Bundesverwaltungsgericht, 2022-02-17, DE</w:t>
      </w:r>
    </w:p>
    <w:p>
      <w:r>
        <w:rPr>
          <w:b/>
        </w:rPr>
        <w:t xml:space="preserve">Quelle: </w:t>
      </w:r>
      <w:r>
        <w:t>https://mcp.opencaselaw.ch/entscheid/bvger_BVGE 2022 IV_1</w:t>
      </w:r>
    </w:p>
    <w:p>
      <w:r>
        <w:t>FR: TAF BVGE 2022 IV/1 du 17 février 2022</w:t>
      </w:r>
    </w:p>
    <w:p>
      <w:r>
        <w:t>IT: TAF BVGE 2022 IV/1 del 17 febbraio 2022</w:t>
      </w:r>
    </w:p>
    <w:p>
      <w:pPr>
        <w:pStyle w:val="Heading2"/>
      </w:pPr>
      <w:r>
        <w:t>Regeste</w:t>
      </w:r>
    </w:p>
    <w:p>
      <w:r>
        <w:t>Widerspruchssachen</w:t>
      </w:r>
    </w:p>
    <w:p>
      <w:pPr>
        <w:pStyle w:val="Heading2"/>
      </w:pPr>
      <w:r>
        <w:t>Erwägungen</w:t>
      </w:r>
    </w:p>
    <w:p>
      <w:r>
        <w:rPr>
          <w:b/>
        </w:rPr>
        <w:t>E. 1</w:t>
      </w:r>
    </w:p>
    <w:p>
      <w:r>
        <w:t>Im Verkehr durchgesetzte Marken geniessen nicht nur für jene Waren Markenschutz, für welche sie sich im Verkehr durchgesetzt haben, sondern auch gegenüber gleichartigen Waren (E. 6.2).</w:t>
      </w:r>
    </w:p>
    <w:p>
      <w:r>
        <w:rPr>
          <w:b/>
        </w:rPr>
        <w:t>E. 2</w:t>
      </w:r>
    </w:p>
    <w:p>
      <w:r>
        <w:t>Ortsbezeichnungen, welche zufolge Verkehrsdurchsetzung als Marke eingetragen werden, müssen auch Konkurrenzunternehmen zur Verfügung stehen. Konkurrenzunternehmen haben für eine genügende Unterscheidbarkeit gegenüber der prioritätsälteren Marke zu sorgen (E. 7).</w:t>
      </w:r>
    </w:p>
    <w:p>
      <w:r>
        <w:rPr>
          <w:b/>
        </w:rPr>
        <w:t>E. 3</w:t>
      </w:r>
    </w:p>
    <w:p>
      <w:r>
        <w:t>Outre les éléments habituels, une signification divergente peut aussi conférer un caractère distinctif suffisant (consid. 7.2). Protezione dei marchi. Procedura di opposizione. Prodotti simili nel caso di marchi imposti nel commercio. Utilizzo da parte di imprese concorrenti di indicazioni di località protette dal diritto dei marchi. Art. 2 lett. a in combinato disposto con l'art. 3 cpv. 1 lett. c LPM.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